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F293B" w14:textId="77777777" w:rsidR="00164981" w:rsidRPr="003655F1" w:rsidRDefault="00000000" w:rsidP="003655F1">
      <w:pPr>
        <w:pStyle w:val="Title"/>
        <w:spacing w:line="480" w:lineRule="auto"/>
        <w:rPr>
          <w:rFonts w:ascii="Times New Roman" w:hAnsi="Times New Roman" w:cs="Times New Roman"/>
          <w:sz w:val="24"/>
          <w:szCs w:val="24"/>
        </w:rPr>
      </w:pPr>
      <w:r w:rsidRPr="003655F1">
        <w:rPr>
          <w:rFonts w:ascii="Times New Roman" w:hAnsi="Times New Roman" w:cs="Times New Roman"/>
          <w:sz w:val="24"/>
          <w:szCs w:val="24"/>
        </w:rPr>
        <w:t>WWE’s Corporate Social Responsibility: Driving Change in Entertainment</w:t>
      </w:r>
    </w:p>
    <w:p w14:paraId="025D83EB"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Mekhi-el Stevens</w:t>
      </w:r>
      <w:r w:rsidRPr="003655F1">
        <w:rPr>
          <w:rFonts w:ascii="Times New Roman" w:hAnsi="Times New Roman" w:cs="Times New Roman"/>
          <w:sz w:val="24"/>
          <w:szCs w:val="24"/>
        </w:rPr>
        <w:br/>
        <w:t>COMM 4660 / IMC 5660</w:t>
      </w:r>
      <w:r w:rsidRPr="003655F1">
        <w:rPr>
          <w:rFonts w:ascii="Times New Roman" w:hAnsi="Times New Roman" w:cs="Times New Roman"/>
          <w:sz w:val="24"/>
          <w:szCs w:val="24"/>
        </w:rPr>
        <w:br/>
        <w:t>Professor L. Brown</w:t>
      </w:r>
      <w:r w:rsidRPr="003655F1">
        <w:rPr>
          <w:rFonts w:ascii="Times New Roman" w:hAnsi="Times New Roman" w:cs="Times New Roman"/>
          <w:sz w:val="24"/>
          <w:szCs w:val="24"/>
        </w:rPr>
        <w:br/>
        <w:t>May 2025</w:t>
      </w:r>
    </w:p>
    <w:p w14:paraId="589A8CC9"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br w:type="page"/>
      </w:r>
    </w:p>
    <w:p w14:paraId="3C17E0A0" w14:textId="77777777" w:rsidR="00164981" w:rsidRPr="003655F1" w:rsidRDefault="00000000" w:rsidP="003655F1">
      <w:pPr>
        <w:pStyle w:val="Heading1"/>
        <w:spacing w:line="480" w:lineRule="auto"/>
        <w:rPr>
          <w:rFonts w:ascii="Times New Roman" w:hAnsi="Times New Roman" w:cs="Times New Roman"/>
          <w:sz w:val="24"/>
          <w:szCs w:val="24"/>
        </w:rPr>
      </w:pPr>
      <w:r w:rsidRPr="003655F1">
        <w:rPr>
          <w:rFonts w:ascii="Times New Roman" w:hAnsi="Times New Roman" w:cs="Times New Roman"/>
          <w:sz w:val="24"/>
          <w:szCs w:val="24"/>
        </w:rPr>
        <w:lastRenderedPageBreak/>
        <w:t>Table of Contents</w:t>
      </w:r>
    </w:p>
    <w:p w14:paraId="7B11304A"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1. Executive Summary / Abstract</w:t>
      </w:r>
    </w:p>
    <w:p w14:paraId="5D7682BD"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2. Introduction</w:t>
      </w:r>
    </w:p>
    <w:p w14:paraId="2682703E"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3. Company Overview</w:t>
      </w:r>
    </w:p>
    <w:p w14:paraId="7518BD5B"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4. Key Stakeholders</w:t>
      </w:r>
    </w:p>
    <w:p w14:paraId="51254D29"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5. CSR Area 1: Diversity, Equity, Inclusion, and Advocacy</w:t>
      </w:r>
    </w:p>
    <w:p w14:paraId="1F0DF689"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6. CSR Area 2: Philanthropy, Social Advocacy, and Community Engagement</w:t>
      </w:r>
    </w:p>
    <w:p w14:paraId="75B7BB09"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7. Conclusion</w:t>
      </w:r>
    </w:p>
    <w:p w14:paraId="248F3D3C"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8. References</w:t>
      </w:r>
    </w:p>
    <w:p w14:paraId="262CEF1B"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9. CSR Plan Recommendations</w:t>
      </w:r>
    </w:p>
    <w:p w14:paraId="24DD9D27"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br w:type="page"/>
      </w:r>
    </w:p>
    <w:p w14:paraId="64E29970"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lastRenderedPageBreak/>
        <w:t>**Executive Summary / Abstract**</w:t>
      </w:r>
    </w:p>
    <w:p w14:paraId="64254756"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World Wrestling Entertainment (WWE) is a global entertainment company with a growing emphasis on corporate social responsibility (CSR). This paper explores WWE’s CSR practices, particularly in the areas of Diversity, Equity, Inclusion, and Advocacy (DEI) and Philanthropy, Social Advocacy, and Community Engagement. The paper evaluates WWE's current strategies, citing successes such as the Women’s Evolution and Make-A-Wish partnership, while identifying areas for improvement such as transparency in DEI progress and sustainability of philanthropic initiatives. Grounded in Carroll’s CSR Pyramid and stakeholder theory, this analysis argues that while WWE has made significant strides, deeper structural changes are needed to improve leadership representation, content integrity, and year-round engagement. The paper concludes with CSR plan recommendations, including the publication of annual DEI and ESG reports, long-term stakeholder feedback strategies, and expanded community outreach programs.</w:t>
      </w:r>
    </w:p>
    <w:p w14:paraId="052E8C6E"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**Introduction**</w:t>
      </w:r>
    </w:p>
    <w:p w14:paraId="65CE17CC"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Corporate Social Responsibility (CSR) has evolved into a fundamental aspect of modern business strategy. Rooted in ethical business practices and stakeholder theory, CSR obligates organizations to consider the social and environmental implications of their operations. Carroll’s (1991) CSR Pyramid outlines four tiers of responsibility: economic, legal, ethical, and philanthropic. Companies that integrate these elements strategically can build brand trust, enhance stakeholder relationships, and contribute to sustainable development.</w:t>
      </w:r>
    </w:p>
    <w:p w14:paraId="2E73E406"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lastRenderedPageBreak/>
        <w:t>World Wrestling Entertainment (WWE) is a multimedia conglomerate that reaches over 1 billion homes across 180 countries. Known for its professional wrestling content, WWE has gradually embedded CSR into its corporate identity. The company publicly promotes causes related to anti-bullying, pediatric health, and diversity through its various campaigns, partnerships, and social programming. Its mission to “put smiles on people’s faces” is closely aligned with its CSR strategy.</w:t>
      </w:r>
    </w:p>
    <w:p w14:paraId="2EFF77C6"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This paper will examine two primary CSR focus areas at WWE: Diversity, Equity, Inclusion, and Advocacy (DEI), and Philanthropy, Social Advocacy, and Community Engagement. These areas reflect WWE’s internal and external CSR footprint and offer a window into its evolving approach to social impact.</w:t>
      </w:r>
    </w:p>
    <w:p w14:paraId="19A2A63F"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**Company Overview**</w:t>
      </w:r>
    </w:p>
    <w:p w14:paraId="0FD08506"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 xml:space="preserve">Founded in 1953 as the </w:t>
      </w:r>
      <w:proofErr w:type="gramStart"/>
      <w:r w:rsidRPr="003655F1">
        <w:rPr>
          <w:rFonts w:ascii="Times New Roman" w:hAnsi="Times New Roman" w:cs="Times New Roman"/>
          <w:sz w:val="24"/>
          <w:szCs w:val="24"/>
        </w:rPr>
        <w:t>World Wide</w:t>
      </w:r>
      <w:proofErr w:type="gramEnd"/>
      <w:r w:rsidRPr="003655F1">
        <w:rPr>
          <w:rFonts w:ascii="Times New Roman" w:hAnsi="Times New Roman" w:cs="Times New Roman"/>
          <w:sz w:val="24"/>
          <w:szCs w:val="24"/>
        </w:rPr>
        <w:t xml:space="preserve"> Wrestling Federation (WWWF), WWE has grown into a global entertainment empire. It is now part of TKO Group Holdings, alongside the UFC. WWE generates revenue through media rights, live events, merchandise, and digital content. While its core product is entertainment, WWE understands its societal influence and has invested in CSR initiatives that align with audience values and global social movements.</w:t>
      </w:r>
    </w:p>
    <w:p w14:paraId="4D8BEB41"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CSR is embedded into WWE’s brand through its commitment to inclusion, youth development, and philanthropy. Programs such as *Be a STAR*, Connor’s Cure, and its partnership with Make-A-Wish showcase its community-first philosophy. The company also publishes Environmental, Social, and Governance (ESG) reports, signaling an intent to engage transparently with stakeholders (WWE, 2023).</w:t>
      </w:r>
    </w:p>
    <w:p w14:paraId="0BCCFFAC"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lastRenderedPageBreak/>
        <w:t>**Key Stakeholders**</w:t>
      </w:r>
    </w:p>
    <w:p w14:paraId="527921E8"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WWE’s CSR strategy targets a diverse array of stakeholders:</w:t>
      </w:r>
    </w:p>
    <w:p w14:paraId="0C169282"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 The WWE Universe: This global fanbase spans children, teens, and adults from multiple cultural and economic backgrounds.</w:t>
      </w:r>
      <w:r w:rsidRPr="003655F1">
        <w:rPr>
          <w:rFonts w:ascii="Times New Roman" w:hAnsi="Times New Roman" w:cs="Times New Roman"/>
          <w:sz w:val="24"/>
          <w:szCs w:val="24"/>
        </w:rPr>
        <w:br/>
        <w:t>- Talent and Staff: Wrestlers, producers, creative teams, and back-office employees who drive WWE's operations.</w:t>
      </w:r>
      <w:r w:rsidRPr="003655F1">
        <w:rPr>
          <w:rFonts w:ascii="Times New Roman" w:hAnsi="Times New Roman" w:cs="Times New Roman"/>
          <w:sz w:val="24"/>
          <w:szCs w:val="24"/>
        </w:rPr>
        <w:br/>
        <w:t>- Corporate Partners and Sponsors: Brands that align with WWE’s image and rely on its reputation for ethical behavior.</w:t>
      </w:r>
      <w:r w:rsidRPr="003655F1">
        <w:rPr>
          <w:rFonts w:ascii="Times New Roman" w:hAnsi="Times New Roman" w:cs="Times New Roman"/>
          <w:sz w:val="24"/>
          <w:szCs w:val="24"/>
        </w:rPr>
        <w:br/>
        <w:t>- Communities and Nonprofits: Local and international organizations benefiting from WWE’s outreach and advocacy efforts.</w:t>
      </w:r>
    </w:p>
    <w:p w14:paraId="58FF34CE"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**CSR Focus Area 1: Diversity, Equity, Inclusion, and Advocacy**</w:t>
      </w:r>
    </w:p>
    <w:p w14:paraId="5199A9C9"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WWE has demonstrated substantial progress in its DEI efforts over the past decade. Internally, the company has introduced unconscious bias training and established Employee Resource Groups (ERGs) to support underrepresented staff (WWE, 2023). Externally, WWE emphasizes diverse representation on-screen through its recruitment of global talent from Africa, Latin America, and Asia. The Women’s Evolution, which allowed female Superstars to headline WrestleMania, marked a historic shift toward gender equality.</w:t>
      </w:r>
    </w:p>
    <w:p w14:paraId="0F1373E4"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However, gaps remain. Leadership and creative teams remain predominantly white and male. Past content has included racially insensitive characters and sexist tropes, revealing a need for more DEI oversight in storytelling (Johnson, 2022). Without more diverse leadership, WWE risks regressing into outdated representations.</w:t>
      </w:r>
    </w:p>
    <w:p w14:paraId="7851AC92"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lastRenderedPageBreak/>
        <w:t>To sustain progress, WWE should publish an annual DEI report and integrate DEI metrics into performance evaluations. Stakeholder feedback must be consistently collected to shape content and internal policy. Carroll’s (1991) ethical and philanthropic pillars emphasize that ethical behavior must be proactive, not reactive.</w:t>
      </w:r>
    </w:p>
    <w:p w14:paraId="70564676"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**CSR Focus Area 2: Philanthropy, Social Advocacy, and Community Engagement**</w:t>
      </w:r>
    </w:p>
    <w:p w14:paraId="38DA0C96"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Philanthropy is one of WWE’s most visible CSR elements. Through the *Be a STAR* anti-bullying campaign, WWE Superstars visit schools to encourage respect and inclusion. The Make-A-Wish Foundation has partnered with WWE for over 40 years, making the company its top wish granter with over 6,000 wishes fulfilled (Make-A-Wish, 2023). WWE also supports pediatric cancer through Connor’s Cure and sponsors Special Olympics events.</w:t>
      </w:r>
    </w:p>
    <w:p w14:paraId="2021A9BD"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Despite its visibility, WWE’s philanthropy faces criticism. Many campaigns are closely tied to major pay-per-view events, which can make them feel promotional rather than purpose-driven (Smith &amp; Brower, 2021). Additionally, there is limited year-round reporting on the measurable outcomes of these efforts.</w:t>
      </w:r>
    </w:p>
    <w:p w14:paraId="467989EE"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To improve, WWE should implement a permanent community outreach calendar, independent of its marketing schedule. A public-facing impact dashboard would offer transparency and showcase genuine commitment to social good.</w:t>
      </w:r>
    </w:p>
    <w:p w14:paraId="3FAD5A3C"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**Conclusion**</w:t>
      </w:r>
    </w:p>
    <w:p w14:paraId="786B836A"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 xml:space="preserve">WWE has taken meaningful steps toward aligning entertainment with corporate social responsibility. The company’s efforts in DEI and community engagement demonstrate </w:t>
      </w:r>
      <w:r w:rsidRPr="003655F1">
        <w:rPr>
          <w:rFonts w:ascii="Times New Roman" w:hAnsi="Times New Roman" w:cs="Times New Roman"/>
          <w:sz w:val="24"/>
          <w:szCs w:val="24"/>
        </w:rPr>
        <w:lastRenderedPageBreak/>
        <w:t>awareness of its cultural influence and responsibility. While its initiatives are commendable, deeper structural reforms are necessary—particularly in leadership diversity, content integrity, and transparent communication.</w:t>
      </w:r>
    </w:p>
    <w:p w14:paraId="4F9D6E9F" w14:textId="77777777" w:rsidR="00164981" w:rsidRPr="003655F1" w:rsidRDefault="00000000" w:rsidP="003655F1">
      <w:pPr>
        <w:spacing w:line="480" w:lineRule="auto"/>
        <w:rPr>
          <w:rFonts w:ascii="Times New Roman" w:hAnsi="Times New Roman" w:cs="Times New Roman"/>
          <w:sz w:val="24"/>
          <w:szCs w:val="24"/>
        </w:rPr>
      </w:pPr>
      <w:r w:rsidRPr="003655F1">
        <w:rPr>
          <w:rFonts w:ascii="Times New Roman" w:hAnsi="Times New Roman" w:cs="Times New Roman"/>
          <w:sz w:val="24"/>
          <w:szCs w:val="24"/>
        </w:rPr>
        <w:t>By applying Carroll’s CSR framework and engaging all stakeholder groups, WWE can evolve into a model for CSR in the entertainment industry. As audience expectations shift toward authentic, year-round impact, WWE has the platform and resources to lead the way.</w:t>
      </w:r>
    </w:p>
    <w:p w14:paraId="7A3A7161" w14:textId="77777777" w:rsidR="003655F1" w:rsidRDefault="003655F1" w:rsidP="003655F1">
      <w:pPr>
        <w:spacing w:line="480" w:lineRule="auto"/>
        <w:rPr>
          <w:rFonts w:ascii="Times New Roman" w:hAnsi="Times New Roman" w:cs="Times New Roman"/>
          <w:sz w:val="24"/>
          <w:szCs w:val="24"/>
        </w:rPr>
      </w:pPr>
    </w:p>
    <w:p w14:paraId="744BDB3F" w14:textId="77777777" w:rsidR="003655F1" w:rsidRDefault="003655F1" w:rsidP="003655F1">
      <w:pPr>
        <w:spacing w:line="480" w:lineRule="auto"/>
        <w:rPr>
          <w:rFonts w:ascii="Times New Roman" w:hAnsi="Times New Roman" w:cs="Times New Roman"/>
          <w:sz w:val="24"/>
          <w:szCs w:val="24"/>
        </w:rPr>
      </w:pPr>
    </w:p>
    <w:p w14:paraId="7B18F116" w14:textId="77777777" w:rsidR="003655F1" w:rsidRDefault="003655F1" w:rsidP="003655F1">
      <w:pPr>
        <w:spacing w:line="480" w:lineRule="auto"/>
        <w:rPr>
          <w:rFonts w:ascii="Times New Roman" w:hAnsi="Times New Roman" w:cs="Times New Roman"/>
          <w:sz w:val="24"/>
          <w:szCs w:val="24"/>
        </w:rPr>
      </w:pPr>
    </w:p>
    <w:p w14:paraId="39DB8F92" w14:textId="77777777" w:rsidR="003655F1" w:rsidRDefault="003655F1" w:rsidP="003655F1">
      <w:pPr>
        <w:spacing w:line="480" w:lineRule="auto"/>
        <w:rPr>
          <w:rFonts w:ascii="Times New Roman" w:hAnsi="Times New Roman" w:cs="Times New Roman"/>
          <w:sz w:val="24"/>
          <w:szCs w:val="24"/>
        </w:rPr>
      </w:pPr>
    </w:p>
    <w:p w14:paraId="54D188BF" w14:textId="77777777" w:rsidR="003655F1" w:rsidRDefault="003655F1" w:rsidP="003655F1">
      <w:pPr>
        <w:spacing w:line="480" w:lineRule="auto"/>
        <w:rPr>
          <w:rFonts w:ascii="Times New Roman" w:hAnsi="Times New Roman" w:cs="Times New Roman"/>
          <w:sz w:val="24"/>
          <w:szCs w:val="24"/>
        </w:rPr>
      </w:pPr>
    </w:p>
    <w:p w14:paraId="647B0F0F" w14:textId="77777777" w:rsidR="003655F1" w:rsidRDefault="003655F1" w:rsidP="003655F1">
      <w:pPr>
        <w:spacing w:line="480" w:lineRule="auto"/>
        <w:rPr>
          <w:rFonts w:ascii="Times New Roman" w:hAnsi="Times New Roman" w:cs="Times New Roman"/>
          <w:sz w:val="24"/>
          <w:szCs w:val="24"/>
        </w:rPr>
      </w:pPr>
    </w:p>
    <w:p w14:paraId="1DBC5BE4" w14:textId="77777777" w:rsidR="003655F1" w:rsidRDefault="003655F1" w:rsidP="003655F1">
      <w:pPr>
        <w:spacing w:line="480" w:lineRule="auto"/>
        <w:rPr>
          <w:rFonts w:ascii="Times New Roman" w:hAnsi="Times New Roman" w:cs="Times New Roman"/>
          <w:sz w:val="24"/>
          <w:szCs w:val="24"/>
        </w:rPr>
      </w:pPr>
    </w:p>
    <w:p w14:paraId="41B1C6A2" w14:textId="77777777" w:rsidR="003655F1" w:rsidRDefault="003655F1" w:rsidP="003655F1">
      <w:pPr>
        <w:spacing w:line="480" w:lineRule="auto"/>
        <w:rPr>
          <w:rFonts w:ascii="Times New Roman" w:hAnsi="Times New Roman" w:cs="Times New Roman"/>
          <w:sz w:val="24"/>
          <w:szCs w:val="24"/>
        </w:rPr>
      </w:pPr>
    </w:p>
    <w:p w14:paraId="052CB03F" w14:textId="77777777" w:rsidR="003655F1" w:rsidRDefault="003655F1" w:rsidP="003655F1">
      <w:pPr>
        <w:spacing w:line="480" w:lineRule="auto"/>
        <w:rPr>
          <w:rFonts w:ascii="Times New Roman" w:hAnsi="Times New Roman" w:cs="Times New Roman"/>
          <w:sz w:val="24"/>
          <w:szCs w:val="24"/>
        </w:rPr>
      </w:pPr>
    </w:p>
    <w:p w14:paraId="1C21C754" w14:textId="77777777" w:rsidR="003655F1" w:rsidRDefault="003655F1" w:rsidP="003655F1">
      <w:pPr>
        <w:spacing w:line="480" w:lineRule="auto"/>
        <w:rPr>
          <w:rFonts w:ascii="Times New Roman" w:hAnsi="Times New Roman" w:cs="Times New Roman"/>
          <w:sz w:val="24"/>
          <w:szCs w:val="24"/>
        </w:rPr>
      </w:pPr>
    </w:p>
    <w:p w14:paraId="336C48AA" w14:textId="77777777" w:rsidR="003655F1" w:rsidRDefault="003655F1" w:rsidP="003655F1">
      <w:pPr>
        <w:spacing w:line="480" w:lineRule="auto"/>
        <w:rPr>
          <w:rFonts w:ascii="Times New Roman" w:hAnsi="Times New Roman" w:cs="Times New Roman"/>
          <w:sz w:val="24"/>
          <w:szCs w:val="24"/>
        </w:rPr>
      </w:pPr>
    </w:p>
    <w:p w14:paraId="2D36004E" w14:textId="77777777" w:rsidR="003655F1" w:rsidRDefault="003655F1" w:rsidP="003655F1">
      <w:pPr>
        <w:spacing w:line="480" w:lineRule="auto"/>
        <w:rPr>
          <w:rFonts w:ascii="Times New Roman" w:hAnsi="Times New Roman" w:cs="Times New Roman"/>
          <w:sz w:val="24"/>
          <w:szCs w:val="24"/>
        </w:rPr>
      </w:pPr>
    </w:p>
    <w:p w14:paraId="65A9A001" w14:textId="5C2C5E99" w:rsidR="00164981" w:rsidRPr="003655F1" w:rsidRDefault="00000000" w:rsidP="003655F1">
      <w:pPr>
        <w:spacing w:line="360" w:lineRule="auto"/>
        <w:rPr>
          <w:rFonts w:ascii="Times New Roman" w:hAnsi="Times New Roman" w:cs="Times New Roman"/>
          <w:sz w:val="24"/>
          <w:szCs w:val="24"/>
        </w:rPr>
      </w:pPr>
      <w:r w:rsidRPr="003655F1">
        <w:rPr>
          <w:rFonts w:ascii="Times New Roman" w:hAnsi="Times New Roman" w:cs="Times New Roman"/>
          <w:sz w:val="24"/>
          <w:szCs w:val="24"/>
        </w:rPr>
        <w:lastRenderedPageBreak/>
        <w:t>**References**</w:t>
      </w:r>
    </w:p>
    <w:p w14:paraId="376C22D3" w14:textId="77777777" w:rsidR="00164981" w:rsidRPr="003655F1" w:rsidRDefault="00000000" w:rsidP="003655F1">
      <w:pPr>
        <w:spacing w:line="360" w:lineRule="auto"/>
        <w:rPr>
          <w:rFonts w:ascii="Times New Roman" w:hAnsi="Times New Roman" w:cs="Times New Roman"/>
          <w:sz w:val="24"/>
          <w:szCs w:val="24"/>
        </w:rPr>
      </w:pPr>
      <w:r w:rsidRPr="003655F1">
        <w:rPr>
          <w:rFonts w:ascii="Times New Roman" w:hAnsi="Times New Roman" w:cs="Times New Roman"/>
          <w:sz w:val="24"/>
          <w:szCs w:val="24"/>
        </w:rPr>
        <w:t>Carroll, A. B. (1991). The pyramid of corporate social responsibility: Toward the moral management of organizational stakeholders. *Business Horizons, 34*(4), 39–48.</w:t>
      </w:r>
    </w:p>
    <w:p w14:paraId="4A80D809" w14:textId="00328BCB" w:rsidR="00164981" w:rsidRPr="003655F1" w:rsidRDefault="00000000" w:rsidP="003655F1">
      <w:pPr>
        <w:spacing w:line="360" w:lineRule="auto"/>
        <w:rPr>
          <w:rFonts w:ascii="Times New Roman" w:hAnsi="Times New Roman" w:cs="Times New Roman"/>
          <w:sz w:val="24"/>
          <w:szCs w:val="24"/>
        </w:rPr>
      </w:pPr>
      <w:r w:rsidRPr="003655F1">
        <w:rPr>
          <w:rFonts w:ascii="Times New Roman" w:hAnsi="Times New Roman" w:cs="Times New Roman"/>
          <w:sz w:val="24"/>
          <w:szCs w:val="24"/>
        </w:rPr>
        <w:t>Johnson, L. (2022). Diversity in sports entertainment: Challenges and opportunities. *Journal of Media Ethics, 37*(2), 112–125.</w:t>
      </w:r>
      <w:r w:rsidR="003655F1">
        <w:rPr>
          <w:rFonts w:ascii="Times New Roman" w:hAnsi="Times New Roman" w:cs="Times New Roman"/>
          <w:sz w:val="24"/>
          <w:szCs w:val="24"/>
        </w:rPr>
        <w:t xml:space="preserve"> </w:t>
      </w:r>
    </w:p>
    <w:p w14:paraId="4BECB3E0" w14:textId="5A74EB29" w:rsidR="00164981" w:rsidRPr="003655F1" w:rsidRDefault="00000000" w:rsidP="003655F1">
      <w:pPr>
        <w:spacing w:line="360" w:lineRule="auto"/>
        <w:rPr>
          <w:rFonts w:ascii="Times New Roman" w:hAnsi="Times New Roman" w:cs="Times New Roman"/>
          <w:sz w:val="24"/>
          <w:szCs w:val="24"/>
        </w:rPr>
      </w:pPr>
      <w:r w:rsidRPr="003655F1">
        <w:rPr>
          <w:rFonts w:ascii="Times New Roman" w:hAnsi="Times New Roman" w:cs="Times New Roman"/>
          <w:sz w:val="24"/>
          <w:szCs w:val="24"/>
        </w:rPr>
        <w:t xml:space="preserve">Make-A-Wish. (2023). WWE and Make-A-Wish celebrate 40 years of granting wishes. </w:t>
      </w:r>
      <w:hyperlink r:id="rId6" w:history="1">
        <w:r w:rsidR="003655F1" w:rsidRPr="00E3197D">
          <w:rPr>
            <w:rStyle w:val="Hyperlink"/>
            <w:rFonts w:ascii="Times New Roman" w:hAnsi="Times New Roman" w:cs="Times New Roman"/>
            <w:sz w:val="24"/>
            <w:szCs w:val="24"/>
          </w:rPr>
          <w:t>https://wish.org</w:t>
        </w:r>
      </w:hyperlink>
      <w:r w:rsidR="003655F1">
        <w:rPr>
          <w:rFonts w:ascii="Times New Roman" w:hAnsi="Times New Roman" w:cs="Times New Roman"/>
          <w:sz w:val="24"/>
          <w:szCs w:val="24"/>
        </w:rPr>
        <w:t xml:space="preserve"> </w:t>
      </w:r>
    </w:p>
    <w:p w14:paraId="52BD73B6" w14:textId="39B5CCCF" w:rsidR="00164981" w:rsidRPr="003655F1" w:rsidRDefault="00000000" w:rsidP="003655F1">
      <w:pPr>
        <w:spacing w:line="360" w:lineRule="auto"/>
        <w:rPr>
          <w:rFonts w:ascii="Times New Roman" w:hAnsi="Times New Roman" w:cs="Times New Roman"/>
          <w:sz w:val="24"/>
          <w:szCs w:val="24"/>
        </w:rPr>
      </w:pPr>
      <w:r w:rsidRPr="003655F1">
        <w:rPr>
          <w:rFonts w:ascii="Times New Roman" w:hAnsi="Times New Roman" w:cs="Times New Roman"/>
          <w:sz w:val="24"/>
          <w:szCs w:val="24"/>
        </w:rPr>
        <w:t>Smith, R., &amp; Brower, T. (2021). CSR and brand reputation in entertainment corporations. *Corporate Reputation Review, 24*(1), 45–58.</w:t>
      </w:r>
      <w:r w:rsidR="003655F1">
        <w:rPr>
          <w:rFonts w:ascii="Times New Roman" w:hAnsi="Times New Roman" w:cs="Times New Roman"/>
          <w:sz w:val="24"/>
          <w:szCs w:val="24"/>
        </w:rPr>
        <w:t xml:space="preserve"> </w:t>
      </w:r>
    </w:p>
    <w:p w14:paraId="490CF711" w14:textId="0961E606" w:rsidR="00164981" w:rsidRPr="003655F1" w:rsidRDefault="00000000" w:rsidP="003655F1">
      <w:pPr>
        <w:spacing w:line="360" w:lineRule="auto"/>
        <w:rPr>
          <w:rFonts w:ascii="Times New Roman" w:hAnsi="Times New Roman" w:cs="Times New Roman"/>
          <w:sz w:val="24"/>
          <w:szCs w:val="24"/>
        </w:rPr>
      </w:pPr>
      <w:r w:rsidRPr="003655F1">
        <w:rPr>
          <w:rFonts w:ascii="Times New Roman" w:hAnsi="Times New Roman" w:cs="Times New Roman"/>
          <w:sz w:val="24"/>
          <w:szCs w:val="24"/>
        </w:rPr>
        <w:t xml:space="preserve">WWE. (2023). *Environmental, Social and Governance Report*. </w:t>
      </w:r>
      <w:hyperlink r:id="rId7" w:history="1">
        <w:r w:rsidR="003655F1" w:rsidRPr="00E3197D">
          <w:rPr>
            <w:rStyle w:val="Hyperlink"/>
            <w:rFonts w:ascii="Times New Roman" w:hAnsi="Times New Roman" w:cs="Times New Roman"/>
            <w:sz w:val="24"/>
            <w:szCs w:val="24"/>
          </w:rPr>
          <w:t>https://corporate.wwe.com/esg</w:t>
        </w:r>
      </w:hyperlink>
      <w:r w:rsidR="003655F1">
        <w:rPr>
          <w:rFonts w:ascii="Times New Roman" w:hAnsi="Times New Roman" w:cs="Times New Roman"/>
          <w:sz w:val="24"/>
          <w:szCs w:val="24"/>
        </w:rPr>
        <w:t xml:space="preserve"> </w:t>
      </w:r>
    </w:p>
    <w:p w14:paraId="0B6BBC1F" w14:textId="77777777" w:rsidR="003655F1" w:rsidRDefault="003655F1" w:rsidP="003655F1">
      <w:pPr>
        <w:spacing w:line="360" w:lineRule="auto"/>
        <w:rPr>
          <w:rFonts w:ascii="Times New Roman" w:hAnsi="Times New Roman" w:cs="Times New Roman"/>
          <w:sz w:val="24"/>
          <w:szCs w:val="24"/>
        </w:rPr>
      </w:pPr>
    </w:p>
    <w:p w14:paraId="476A6988" w14:textId="77777777" w:rsidR="003655F1" w:rsidRDefault="003655F1" w:rsidP="003655F1">
      <w:pPr>
        <w:spacing w:line="360" w:lineRule="auto"/>
        <w:rPr>
          <w:rFonts w:ascii="Times New Roman" w:hAnsi="Times New Roman" w:cs="Times New Roman"/>
          <w:sz w:val="24"/>
          <w:szCs w:val="24"/>
        </w:rPr>
      </w:pPr>
    </w:p>
    <w:p w14:paraId="5F917052" w14:textId="77777777" w:rsidR="003655F1" w:rsidRDefault="003655F1" w:rsidP="003655F1">
      <w:pPr>
        <w:spacing w:line="360" w:lineRule="auto"/>
        <w:rPr>
          <w:rFonts w:ascii="Times New Roman" w:hAnsi="Times New Roman" w:cs="Times New Roman"/>
          <w:sz w:val="24"/>
          <w:szCs w:val="24"/>
        </w:rPr>
      </w:pPr>
    </w:p>
    <w:p w14:paraId="2C30816C" w14:textId="77777777" w:rsidR="003655F1" w:rsidRDefault="003655F1" w:rsidP="003655F1">
      <w:pPr>
        <w:spacing w:line="360" w:lineRule="auto"/>
        <w:rPr>
          <w:rFonts w:ascii="Times New Roman" w:hAnsi="Times New Roman" w:cs="Times New Roman"/>
          <w:sz w:val="24"/>
          <w:szCs w:val="24"/>
        </w:rPr>
      </w:pPr>
    </w:p>
    <w:p w14:paraId="027B2D24" w14:textId="77777777" w:rsidR="003655F1" w:rsidRDefault="003655F1" w:rsidP="003655F1">
      <w:pPr>
        <w:spacing w:line="360" w:lineRule="auto"/>
        <w:rPr>
          <w:rFonts w:ascii="Times New Roman" w:hAnsi="Times New Roman" w:cs="Times New Roman"/>
          <w:sz w:val="24"/>
          <w:szCs w:val="24"/>
        </w:rPr>
      </w:pPr>
    </w:p>
    <w:p w14:paraId="1698C1BD" w14:textId="77777777" w:rsidR="003655F1" w:rsidRDefault="003655F1" w:rsidP="003655F1">
      <w:pPr>
        <w:spacing w:line="360" w:lineRule="auto"/>
        <w:rPr>
          <w:rFonts w:ascii="Times New Roman" w:hAnsi="Times New Roman" w:cs="Times New Roman"/>
          <w:sz w:val="24"/>
          <w:szCs w:val="24"/>
        </w:rPr>
      </w:pPr>
    </w:p>
    <w:p w14:paraId="124CD2C5" w14:textId="77777777" w:rsidR="003655F1" w:rsidRDefault="003655F1" w:rsidP="003655F1">
      <w:pPr>
        <w:spacing w:line="360" w:lineRule="auto"/>
        <w:rPr>
          <w:rFonts w:ascii="Times New Roman" w:hAnsi="Times New Roman" w:cs="Times New Roman"/>
          <w:sz w:val="24"/>
          <w:szCs w:val="24"/>
        </w:rPr>
      </w:pPr>
    </w:p>
    <w:p w14:paraId="03BFB172" w14:textId="77777777" w:rsidR="003655F1" w:rsidRDefault="003655F1" w:rsidP="003655F1">
      <w:pPr>
        <w:spacing w:line="360" w:lineRule="auto"/>
        <w:rPr>
          <w:rFonts w:ascii="Times New Roman" w:hAnsi="Times New Roman" w:cs="Times New Roman"/>
          <w:sz w:val="24"/>
          <w:szCs w:val="24"/>
        </w:rPr>
      </w:pPr>
    </w:p>
    <w:p w14:paraId="653630A3" w14:textId="77777777" w:rsidR="003655F1" w:rsidRDefault="003655F1" w:rsidP="003655F1">
      <w:pPr>
        <w:spacing w:line="360" w:lineRule="auto"/>
        <w:rPr>
          <w:rFonts w:ascii="Times New Roman" w:hAnsi="Times New Roman" w:cs="Times New Roman"/>
          <w:sz w:val="24"/>
          <w:szCs w:val="24"/>
        </w:rPr>
      </w:pPr>
    </w:p>
    <w:p w14:paraId="4E386B0B" w14:textId="77777777" w:rsidR="003655F1" w:rsidRDefault="003655F1" w:rsidP="003655F1">
      <w:pPr>
        <w:spacing w:line="360" w:lineRule="auto"/>
        <w:rPr>
          <w:rFonts w:ascii="Times New Roman" w:hAnsi="Times New Roman" w:cs="Times New Roman"/>
          <w:sz w:val="24"/>
          <w:szCs w:val="24"/>
        </w:rPr>
      </w:pPr>
    </w:p>
    <w:p w14:paraId="7DD7FAED" w14:textId="77777777" w:rsidR="003655F1" w:rsidRDefault="003655F1" w:rsidP="003655F1">
      <w:pPr>
        <w:spacing w:line="360" w:lineRule="auto"/>
        <w:rPr>
          <w:rFonts w:ascii="Times New Roman" w:hAnsi="Times New Roman" w:cs="Times New Roman"/>
          <w:sz w:val="24"/>
          <w:szCs w:val="24"/>
        </w:rPr>
      </w:pPr>
    </w:p>
    <w:p w14:paraId="77365C90" w14:textId="77777777" w:rsidR="003655F1" w:rsidRDefault="003655F1" w:rsidP="003655F1">
      <w:pPr>
        <w:spacing w:line="360" w:lineRule="auto"/>
        <w:rPr>
          <w:rFonts w:ascii="Times New Roman" w:hAnsi="Times New Roman" w:cs="Times New Roman"/>
          <w:sz w:val="24"/>
          <w:szCs w:val="24"/>
        </w:rPr>
      </w:pPr>
    </w:p>
    <w:p w14:paraId="116F1AE0" w14:textId="61C254A6" w:rsidR="00164981" w:rsidRPr="003655F1" w:rsidRDefault="00000000" w:rsidP="003655F1">
      <w:pPr>
        <w:spacing w:line="360" w:lineRule="auto"/>
        <w:rPr>
          <w:rFonts w:ascii="Times New Roman" w:hAnsi="Times New Roman" w:cs="Times New Roman"/>
          <w:sz w:val="24"/>
          <w:szCs w:val="24"/>
        </w:rPr>
      </w:pPr>
      <w:r w:rsidRPr="003655F1">
        <w:rPr>
          <w:rFonts w:ascii="Times New Roman" w:hAnsi="Times New Roman" w:cs="Times New Roman"/>
          <w:sz w:val="24"/>
          <w:szCs w:val="24"/>
        </w:rPr>
        <w:lastRenderedPageBreak/>
        <w:t>**CSR Plan Recommendations**</w:t>
      </w:r>
    </w:p>
    <w:p w14:paraId="6E66B2BA" w14:textId="77777777" w:rsidR="00164981" w:rsidRPr="003655F1" w:rsidRDefault="00000000" w:rsidP="003655F1">
      <w:pPr>
        <w:spacing w:line="360" w:lineRule="auto"/>
        <w:rPr>
          <w:rFonts w:ascii="Times New Roman" w:hAnsi="Times New Roman" w:cs="Times New Roman"/>
          <w:sz w:val="24"/>
          <w:szCs w:val="24"/>
        </w:rPr>
      </w:pPr>
      <w:r w:rsidRPr="003655F1">
        <w:rPr>
          <w:rFonts w:ascii="Times New Roman" w:hAnsi="Times New Roman" w:cs="Times New Roman"/>
          <w:sz w:val="24"/>
          <w:szCs w:val="24"/>
        </w:rPr>
        <w:t>- **Revise CSR Mission**: Broaden the focus of "putting smiles on faces" to emphasize sustainable, long-term impact.</w:t>
      </w:r>
      <w:r w:rsidRPr="003655F1">
        <w:rPr>
          <w:rFonts w:ascii="Times New Roman" w:hAnsi="Times New Roman" w:cs="Times New Roman"/>
          <w:sz w:val="24"/>
          <w:szCs w:val="24"/>
        </w:rPr>
        <w:br/>
        <w:t>- **Annual DEI and ESG Progress Reports**: Publicly track leadership diversity, hiring practices, environmental sustainability, and outreach results.</w:t>
      </w:r>
      <w:r w:rsidRPr="003655F1">
        <w:rPr>
          <w:rFonts w:ascii="Times New Roman" w:hAnsi="Times New Roman" w:cs="Times New Roman"/>
          <w:sz w:val="24"/>
          <w:szCs w:val="24"/>
        </w:rPr>
        <w:br/>
        <w:t>- **Expand DEI into Creative Leadership**: Hire and promote more writers, producers, and executives from underrepresented backgrounds.</w:t>
      </w:r>
      <w:r w:rsidRPr="003655F1">
        <w:rPr>
          <w:rFonts w:ascii="Times New Roman" w:hAnsi="Times New Roman" w:cs="Times New Roman"/>
          <w:sz w:val="24"/>
          <w:szCs w:val="24"/>
        </w:rPr>
        <w:br/>
        <w:t>- **Year-Round Community Engagement**: Transition *Be a STAR* and other campaigns into ongoing programs with permanent staff and partnerships.</w:t>
      </w:r>
      <w:r w:rsidRPr="003655F1">
        <w:rPr>
          <w:rFonts w:ascii="Times New Roman" w:hAnsi="Times New Roman" w:cs="Times New Roman"/>
          <w:sz w:val="24"/>
          <w:szCs w:val="24"/>
        </w:rPr>
        <w:br/>
        <w:t>- **Stakeholder Listening Sessions**: Hold quarterly forums with fans, employees, and nonprofit partners to shape CSR strategy.</w:t>
      </w:r>
      <w:r w:rsidRPr="003655F1">
        <w:rPr>
          <w:rFonts w:ascii="Times New Roman" w:hAnsi="Times New Roman" w:cs="Times New Roman"/>
          <w:sz w:val="24"/>
          <w:szCs w:val="24"/>
        </w:rPr>
        <w:br/>
        <w:t>- **Impact Dashboard**: Launch an online tracker showing real-time data on charitable events, community service hours, and program reach.</w:t>
      </w:r>
      <w:r w:rsidRPr="003655F1">
        <w:rPr>
          <w:rFonts w:ascii="Times New Roman" w:hAnsi="Times New Roman" w:cs="Times New Roman"/>
          <w:sz w:val="24"/>
          <w:szCs w:val="24"/>
        </w:rPr>
        <w:br/>
        <w:t>- **Return of Women-Centric Programming**: Reinstate events like the Evolution PPV to maintain momentum around gender equity.</w:t>
      </w:r>
    </w:p>
    <w:sectPr w:rsidR="00164981" w:rsidRPr="003655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6282482">
    <w:abstractNumId w:val="8"/>
  </w:num>
  <w:num w:numId="2" w16cid:durableId="637036166">
    <w:abstractNumId w:val="6"/>
  </w:num>
  <w:num w:numId="3" w16cid:durableId="1200585691">
    <w:abstractNumId w:val="5"/>
  </w:num>
  <w:num w:numId="4" w16cid:durableId="1033075763">
    <w:abstractNumId w:val="4"/>
  </w:num>
  <w:num w:numId="5" w16cid:durableId="53164242">
    <w:abstractNumId w:val="7"/>
  </w:num>
  <w:num w:numId="6" w16cid:durableId="1360664290">
    <w:abstractNumId w:val="3"/>
  </w:num>
  <w:num w:numId="7" w16cid:durableId="483662334">
    <w:abstractNumId w:val="2"/>
  </w:num>
  <w:num w:numId="8" w16cid:durableId="822038896">
    <w:abstractNumId w:val="1"/>
  </w:num>
  <w:num w:numId="9" w16cid:durableId="18888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4981"/>
    <w:rsid w:val="0029639D"/>
    <w:rsid w:val="00326F90"/>
    <w:rsid w:val="003655F1"/>
    <w:rsid w:val="00AA1D8D"/>
    <w:rsid w:val="00B47730"/>
    <w:rsid w:val="00B75FD8"/>
    <w:rsid w:val="00CB0664"/>
    <w:rsid w:val="00E335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4C2A6"/>
  <w14:defaultImageDpi w14:val="300"/>
  <w15:docId w15:val="{D19BBA13-6A5F-7C43-829D-5422C53B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655F1"/>
    <w:rPr>
      <w:color w:val="0000FF" w:themeColor="hyperlink"/>
      <w:u w:val="single"/>
    </w:rPr>
  </w:style>
  <w:style w:type="character" w:styleId="UnresolvedMention">
    <w:name w:val="Unresolved Mention"/>
    <w:basedOn w:val="DefaultParagraphFont"/>
    <w:uiPriority w:val="99"/>
    <w:semiHidden/>
    <w:unhideWhenUsed/>
    <w:rsid w:val="00365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rporate.wwe.com/es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sh.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Stevens, Mekhi-el [stevensm18]</cp:lastModifiedBy>
  <cp:revision>2</cp:revision>
  <dcterms:created xsi:type="dcterms:W3CDTF">2013-12-23T23:15:00Z</dcterms:created>
  <dcterms:modified xsi:type="dcterms:W3CDTF">2025-08-27T14:09:00Z</dcterms:modified>
  <cp:category/>
</cp:coreProperties>
</file>